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69" w:rsidRDefault="00AA2969" w:rsidP="00E55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3050" cy="4857750"/>
            <wp:effectExtent l="19050" t="0" r="0" b="0"/>
            <wp:docPr id="6" name="Рисунок 1" descr="http://www.xn---7-6kc5aaamcecxgm.xn--p1ai/wp-content/uploads/2017/10/543-1024x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7-6kc5aaamcecxgm.xn--p1ai/wp-content/uploads/2017/10/543-1024x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20" cy="48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CA" w:rsidRPr="00E55ACA" w:rsidRDefault="00E55ACA" w:rsidP="003C1481">
      <w:pPr>
        <w:shd w:val="clear" w:color="auto" w:fill="FFFFFF"/>
        <w:spacing w:before="100" w:beforeAutospacing="1" w:after="100" w:afterAutospacing="1" w:line="288" w:lineRule="atLeast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</w:pPr>
      <w:r w:rsidRPr="00E55ACA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t xml:space="preserve">Причины возникновения </w:t>
      </w:r>
      <w:proofErr w:type="spellStart"/>
      <w:r w:rsidRPr="00E55ACA">
        <w:rPr>
          <w:rFonts w:ascii="Times New Roman" w:eastAsia="Times New Roman" w:hAnsi="Times New Roman" w:cs="Times New Roman"/>
          <w:b/>
          <w:bCs/>
          <w:color w:val="003366"/>
          <w:sz w:val="40"/>
          <w:szCs w:val="40"/>
          <w:lang w:eastAsia="ru-RU"/>
        </w:rPr>
        <w:t>остеопороза</w:t>
      </w:r>
      <w:proofErr w:type="spellEnd"/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заболевание, которое в течение длительного времени (годы) клинически никак не проявляется. Лишь при исследовании можно определить снижение плотности костной ткани –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остеопению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прогрессировании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остеопении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отсутствии соответствующего лечения, это состояние может постепенно перейти в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Остеопороз</w:t>
      </w:r>
      <w:proofErr w:type="spellEnd"/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— прогрессирующее заболевание костной ткани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сопровождается потерей кальция, а вместе с ним прочности. Кости становятся хрупкими, что может повлечь за собой частые переломы даже при незначительных травмах или без таковых (падение с высоты собственного роста, наклон, поворот туловища и др.). Наиболее тяжелым последствием болезни является перелом шейки бедра.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Кость представляет собой постоянно обновляющуюся ткань. На протяжении всей жизни человека его скелет подвергается постоянной регенерации, то есть в нем появляются места разрушения костной ткани, которые затем замещаются вновь образованной костью. Скелет человека полностью обновляется за 10-15 лет. У подростков и молодых людей процессы образования кости преобладают над процессами разрушения, поэтому плотность костной ткани увеличивается, но только до определенного предела, так называемого «пика костной массы», который достигается обычно в возрасте 20-30 лет. После этого начинаются постепенные потери костной массы вследствие преобладания процессов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разрушения, которое не компенсируется достаточным костеобразованием. Наступление менопаузы у женщин ускоряет разрушение костей, что связано с резким снижением уровня женских половых гормонов (эстрогенов). Такой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еопороз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 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постменопаузальный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старческий).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8B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848225" cy="1400175"/>
            <wp:effectExtent l="19050" t="0" r="9525" b="0"/>
            <wp:docPr id="4" name="Рисунок 5" descr="osteoporoz_wom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eoporoz_wom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2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негативное влияние на костный обмен могут оказывать некоторые эндокринные и другие заболевания и лекарственные препараты (например,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глюкокортикостероиды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развившийся</w:t>
      </w:r>
      <w:proofErr w:type="gram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результате вышеперечисленных причин называется «вторичный».</w:t>
      </w:r>
    </w:p>
    <w:p w:rsidR="00E55ACA" w:rsidRDefault="00E55ACA" w:rsidP="003C1481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</w:pPr>
      <w:r w:rsidRPr="00257495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Основные проявления </w:t>
      </w:r>
      <w:proofErr w:type="spellStart"/>
      <w:r w:rsidRPr="00257495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остеопороза</w:t>
      </w:r>
      <w:proofErr w:type="spellEnd"/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Начальными симптомами заболевания могут быть клинические признаки, связанные с недостатком кальция:</w:t>
      </w:r>
    </w:p>
    <w:p w:rsidR="00E55ACA" w:rsidRPr="00125181" w:rsidRDefault="00E55ACA" w:rsidP="003C1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слабость, повышенная утомляемость, снижение трудоспособности;</w:t>
      </w:r>
    </w:p>
    <w:p w:rsidR="00E55ACA" w:rsidRPr="00125181" w:rsidRDefault="00E55ACA" w:rsidP="003C1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кариес;</w:t>
      </w:r>
    </w:p>
    <w:p w:rsidR="00E55ACA" w:rsidRPr="00125181" w:rsidRDefault="00E55ACA" w:rsidP="003C1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ломкие ногти, тусклые, секущиеся волосы.</w:t>
      </w:r>
    </w:p>
    <w:p w:rsidR="00E55ACA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мере прогрессирования заболевания появляются боли в костях. Происходит уменьшение роста на 2-3 см, связанное с компрессионным переломом позвоночника и формированием кифоза. В результате рост может снизиться на 10-15 см. Происходит изменение осанки в виде искривления позвоночника – «вдовий горб».</w:t>
      </w:r>
    </w:p>
    <w:p w:rsidR="00E55ACA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noProof/>
          <w:color w:val="3399FF"/>
          <w:sz w:val="28"/>
          <w:szCs w:val="28"/>
          <w:lang w:eastAsia="ru-RU"/>
        </w:rPr>
        <w:drawing>
          <wp:inline distT="0" distB="0" distL="0" distR="0">
            <wp:extent cx="3105150" cy="1657350"/>
            <wp:effectExtent l="19050" t="0" r="0" b="0"/>
            <wp:docPr id="10" name="Рисунок 7" descr="6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Течение заболевания чаще медленное, но прогрессирующее. При прогрессировании заболевания нарушение минерализации кости с каждым годом увеличивается, что сопровождается снижением ее прочности. В результате отмечают патологические переломы, вторичные деформации, которые нередко приводят к инвалидности.</w:t>
      </w:r>
    </w:p>
    <w:p w:rsidR="00E55ACA" w:rsidRPr="00E55ACA" w:rsidRDefault="00E55ACA" w:rsidP="00D05A1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E55AC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Диагностика </w:t>
      </w:r>
      <w:proofErr w:type="spellStart"/>
      <w:r w:rsidRPr="00E55AC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остеопороза</w:t>
      </w:r>
      <w:proofErr w:type="spellEnd"/>
      <w:r w:rsidR="00D05A1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.</w:t>
      </w:r>
    </w:p>
    <w:p w:rsidR="00E55ACA" w:rsidRPr="00125181" w:rsidRDefault="00E55ACA" w:rsidP="00D05A14">
      <w:pPr>
        <w:shd w:val="clear" w:color="auto" w:fill="FFFFFF"/>
        <w:spacing w:before="120" w:after="120" w:line="240" w:lineRule="auto"/>
        <w:ind w:left="284" w:right="120" w:firstLine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хотя бы одного фактора риска необходимо пройти своевременное медицинское обследование.</w:t>
      </w:r>
    </w:p>
    <w:p w:rsidR="00E55ACA" w:rsidRPr="00125181" w:rsidRDefault="00E55ACA" w:rsidP="00D05A14">
      <w:pPr>
        <w:shd w:val="clear" w:color="auto" w:fill="FFFFFF"/>
        <w:spacing w:before="120" w:after="120" w:line="240" w:lineRule="auto"/>
        <w:ind w:left="284" w:right="120" w:firstLine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способов диагностики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денситометрия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(ультразвуковая или рентгеновская), которая позволяет определить минеральную плотность костной ткани и предсказать риск развития переломов на ранней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стадии, когда переломов еще нет. Рентгеновская денситометрия наиболее точная методика и лучевая нагрузка при ее применении незначительна. Рентгеновская денситометрия является “золотым” стандартом диагностики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67100" cy="1924050"/>
            <wp:effectExtent l="19050" t="0" r="0" b="0"/>
            <wp:docPr id="15" name="Рисунок 8" descr="osteoporoz_diagno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teoporoz_diagnost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CA" w:rsidRPr="00E55ACA" w:rsidRDefault="00E55ACA" w:rsidP="00D05A14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E55AC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Профилактика </w:t>
      </w:r>
      <w:proofErr w:type="spellStart"/>
      <w:r w:rsidRPr="00E55AC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остеопороза</w:t>
      </w:r>
      <w:proofErr w:type="spellEnd"/>
      <w:r w:rsidR="00D05A1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.</w:t>
      </w:r>
    </w:p>
    <w:p w:rsidR="00E55ACA" w:rsidRPr="00125181" w:rsidRDefault="00E55ACA" w:rsidP="00D05A14">
      <w:pPr>
        <w:shd w:val="clear" w:color="auto" w:fill="FFFFFF"/>
        <w:spacing w:before="120" w:after="120" w:line="240" w:lineRule="auto"/>
        <w:ind w:left="284" w:right="120" w:firstLine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начинаться с детского и подросткового возраста, когда должны быть обеспечены наиболее благоприятные условия для активного роста и развития скелета.</w:t>
      </w:r>
    </w:p>
    <w:p w:rsidR="00E55ACA" w:rsidRDefault="00E55ACA" w:rsidP="003C1481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Рациональное питание</w:t>
      </w:r>
    </w:p>
    <w:p w:rsidR="00E55ACA" w:rsidRPr="00125181" w:rsidRDefault="00E55ACA" w:rsidP="003C1481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noProof/>
          <w:color w:val="3399FF"/>
          <w:sz w:val="28"/>
          <w:szCs w:val="28"/>
          <w:lang w:eastAsia="ru-RU"/>
        </w:rPr>
        <w:drawing>
          <wp:inline distT="0" distB="0" distL="0" distR="0">
            <wp:extent cx="3962400" cy="2276475"/>
            <wp:effectExtent l="19050" t="0" r="0" b="0"/>
            <wp:docPr id="18" name="Рисунок 9" descr="pitanie_osteoporo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tanie_osteoporoz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является одним из наиболее эффективных сре</w:t>
      </w:r>
      <w:proofErr w:type="gram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офилактики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Известно, что одним из основных минералов, оказывающих существенное влияние на формирование и поддержание скелета,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кальций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женщин после менопаузы и для мужчин старше 50 лет ежедневная потребность в кальции составляет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1500 мг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молодом возрасте ежедневная потребность в кальции составляет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1000 мг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источником кальция являются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молочные продукты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особенности, твердые сыры и творог)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консервированная рыба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косточками (лосось, сардина).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достаточно ли потребляется кальция конкретным человеком можно по формуле:</w:t>
      </w:r>
    </w:p>
    <w:p w:rsidR="00E55ACA" w:rsidRPr="00E7511B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Суточное потребление кальция (мг) = кальций продуктов (мг) + 350 мг</w:t>
      </w:r>
    </w:p>
    <w:p w:rsidR="00E55ACA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улучшения усвоения кальция в желудочно-кишечном тракте очень важен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витамин D.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Суточная потребность в этом витамине составляет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400 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(международных единиц)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возрасте до 50 лет и до </w:t>
      </w:r>
      <w:r w:rsidRPr="00E55A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800 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 возрасте старше 50 лет. Витамин D поступает в организм вместе с такими продуктами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питания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рыба, печень, яйца,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образовывается в коже под влиянием ультрафиолетовых лучей. Однако в осенне-зимний период количество солнечных дней резко сокращается, поэтому в это время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 D следует принимать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 в виде лекарственных препаратов.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обратить внимание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белковую составляющую рациона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Необходимо потреблять 1-1,2 г белка на 1 кг массы тела в день. В то же время, нужно помнить, что избыточное потребление белка способствует увеличению выделения кальция с мочой.</w:t>
      </w:r>
    </w:p>
    <w:p w:rsidR="00E55ACA" w:rsidRPr="00125181" w:rsidRDefault="00E55ACA" w:rsidP="003C1481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Исключение вредных продуктов</w:t>
      </w:r>
    </w:p>
    <w:p w:rsidR="00E55ACA" w:rsidRPr="00125181" w:rsidRDefault="00E55ACA" w:rsidP="00D05A14">
      <w:pPr>
        <w:shd w:val="clear" w:color="auto" w:fill="FFFFFF"/>
        <w:spacing w:before="120" w:after="120" w:line="240" w:lineRule="auto"/>
        <w:ind w:left="284" w:right="119" w:firstLine="37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Кофе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вредным напитком при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остеопорозе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Кофеин, содержащийся в кофе, усиливает выделение кальция с мочой у взрослых. А потребление четырех и более чашек кофе в день у женщин способствует потере костной массы в позвоночнике и во всем теле. Однако</w:t>
      </w:r>
      <w:proofErr w:type="gram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добавление в кофе молока значительно уменьшает этот риск.</w:t>
      </w:r>
    </w:p>
    <w:p w:rsidR="00E55ACA" w:rsidRPr="00125181" w:rsidRDefault="00E55ACA" w:rsidP="00D05A14">
      <w:pPr>
        <w:shd w:val="clear" w:color="auto" w:fill="FFFFFF"/>
        <w:spacing w:before="120" w:after="120" w:line="240" w:lineRule="auto"/>
        <w:ind w:left="284" w:right="119" w:firstLine="37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Поваренная соль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основной источник натрия, который давно квалифицируется учеными, как мощный катализатор процесса выведения кальция из орг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анизма. Необходимо ограничивать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потребление соли до 5г в сутки (1 чайной ложки без горки). Оптимальным является употребление недосоленной пищи.</w:t>
      </w:r>
    </w:p>
    <w:p w:rsidR="00E55ACA" w:rsidRDefault="00E55ACA" w:rsidP="00D05A14">
      <w:pPr>
        <w:shd w:val="clear" w:color="auto" w:fill="FFFFFF"/>
        <w:spacing w:before="120" w:after="120" w:line="240" w:lineRule="auto"/>
        <w:ind w:left="284" w:right="119" w:firstLine="37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Газированная вода (Кока-кола, Спрайт, Фанта и др.)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ведет к повышенному выведению кальция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приводит к уменьшению костной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массы особенно у детей.</w:t>
      </w:r>
    </w:p>
    <w:p w:rsidR="003C1481" w:rsidRPr="00125181" w:rsidRDefault="003C1481" w:rsidP="00D05A14">
      <w:pPr>
        <w:shd w:val="clear" w:color="auto" w:fill="FFFFFF"/>
        <w:spacing w:before="120" w:after="120" w:line="240" w:lineRule="auto"/>
        <w:ind w:left="284" w:right="119" w:firstLine="37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ACA" w:rsidRPr="00125181" w:rsidRDefault="00E55ACA" w:rsidP="003C1481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Поддержание нормальной массы тела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профилактики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поддерживать вес в нормальном для вашего роста диапазоне. Важно отметить, что чрезмерно худые женщины страдают от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гораздо чаще, нежели полные. Это обусловлено тем, что жировая клетка способна синте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зировать гормоны, стимулирующие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костной ткани.</w:t>
      </w:r>
    </w:p>
    <w:p w:rsidR="00E55ACA" w:rsidRPr="00BB7A70" w:rsidRDefault="0042579E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tgtFrame="_blank" w:history="1">
        <w:r w:rsidR="00E55ACA" w:rsidRPr="00BB7A70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Рассчитать ИМТ (индекс массы тела).</w:t>
        </w:r>
      </w:hyperlink>
    </w:p>
    <w:p w:rsidR="00E55ACA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BB7A70">
        <w:rPr>
          <w:rFonts w:ascii="Times New Roman" w:hAnsi="Times New Roman" w:cs="Times New Roman"/>
          <w:sz w:val="28"/>
          <w:szCs w:val="28"/>
        </w:rPr>
        <w:t xml:space="preserve">Масса тела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B7A7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B7A70">
        <w:rPr>
          <w:rFonts w:ascii="Times New Roman" w:hAnsi="Times New Roman" w:cs="Times New Roman"/>
          <w:sz w:val="28"/>
          <w:szCs w:val="28"/>
        </w:rPr>
        <w:t>: рост в метрах в квадрате</w:t>
      </w:r>
    </w:p>
    <w:p w:rsidR="00E55ACA" w:rsidRDefault="003C1481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5ACA">
        <w:rPr>
          <w:rFonts w:ascii="Times New Roman" w:hAnsi="Times New Roman" w:cs="Times New Roman"/>
          <w:sz w:val="28"/>
          <w:szCs w:val="28"/>
        </w:rPr>
        <w:t>(Норма</w:t>
      </w:r>
      <w:proofErr w:type="gramStart"/>
      <w:r w:rsidR="00E55A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5ACA">
        <w:rPr>
          <w:rFonts w:ascii="Times New Roman" w:hAnsi="Times New Roman" w:cs="Times New Roman"/>
          <w:sz w:val="28"/>
          <w:szCs w:val="28"/>
        </w:rPr>
        <w:t>18.5 – 25)</w:t>
      </w:r>
    </w:p>
    <w:p w:rsidR="003C1481" w:rsidRPr="00BB7A70" w:rsidRDefault="003C1481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866900"/>
            <wp:effectExtent l="19050" t="0" r="0" b="0"/>
            <wp:docPr id="26" name="Рисунок 12" descr="v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F5" w:rsidRDefault="008F2CF5" w:rsidP="003C1481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5ACA" w:rsidRPr="00125181" w:rsidRDefault="00E55ACA" w:rsidP="003C1481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Отказ от курения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Курильщики теряют костную массу с возрастом гораздо быстрее, чем некурящие. Согласно исследованиям у курильщиков минеральная плотность костей на 10%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ниже (по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сравнению с некурящими людьми).</w:t>
      </w:r>
    </w:p>
    <w:p w:rsidR="00E55ACA" w:rsidRPr="00125181" w:rsidRDefault="00E55ACA" w:rsidP="003C1481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 от употребления алкоголя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алкоголя (более 3 единиц чистого алкоголя в день для мужчин и более 2 единиц для женщин) приводит к нарушению всасывания кальция и негативно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влияет на костный метаболизм.</w:t>
      </w:r>
    </w:p>
    <w:p w:rsidR="00E55ACA" w:rsidRPr="00125181" w:rsidRDefault="00E55ACA" w:rsidP="003C1481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Оптимальная физическая активность</w:t>
      </w:r>
    </w:p>
    <w:p w:rsidR="00E55ACA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Костный метаболизм работает так же, как и общий метаболизм организма: чем больше человек двигается, тем активней работают все его органы. В то же время при любой физической нагрузке важен индивидуальный подход. Если у челов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 тяжелые формы</w:t>
      </w:r>
      <w:r w:rsidR="008F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упражнения выполняются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положениях сидя, лежа, либо в воде. Переутомляться и чрезмерно нагружать пораженные суставы не надо, но и о движении забывать нельзя.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Физические нагрузки важны для замедления потерь костной ткани, улучшения равновесия и профилактики падений, а также для реабилитации после перенесенных переломов. Физическая активность должна включать ходьбу, которая дает нагрузку на кости. Важно отметить, что плавание не способствует укреплению кости, поскольку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невесомое состояние тела в воде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приводит к возникновению необходимого усилия на костные структуры.</w:t>
      </w:r>
    </w:p>
    <w:p w:rsidR="00E55ACA" w:rsidRPr="00A146EA" w:rsidRDefault="00E55ACA" w:rsidP="003C1481">
      <w:pPr>
        <w:shd w:val="clear" w:color="auto" w:fill="FFFFFF"/>
        <w:spacing w:before="100" w:beforeAutospacing="1" w:after="100" w:afterAutospacing="1" w:line="288" w:lineRule="atLeast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46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переломов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 характерных переломов: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шейка бедренной кости (тазобедренный сустав), позвоночник, лучезапястный сустав.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86200" cy="2362200"/>
            <wp:effectExtent l="19050" t="0" r="0" b="0"/>
            <wp:docPr id="22" name="Рисунок 14" descr="podverzhennyye-porazheniyu-oblast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verzhennyye-porazheniyu-oblasti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Склонность к падениям у пожилых людей обычно бывает связана с такими факторами, как мышечная и общая слабость, нарушения зрения, нарушения сна, расстройства равновесия, прием некоторых неврологических препаратов,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снижение остроты слуха и зрения и др. Мероприятия по профилактике падений занимают важное место в лечении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Полезные советы, как избежать падений:</w:t>
      </w:r>
    </w:p>
    <w:p w:rsidR="00E55ACA" w:rsidRPr="00125181" w:rsidRDefault="00E55ACA" w:rsidP="003C14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делайте упражнения для улучшения равновесия;</w:t>
      </w:r>
    </w:p>
    <w:p w:rsidR="00E55ACA" w:rsidRPr="00125181" w:rsidRDefault="00E55ACA" w:rsidP="003C14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следите за зрением и слухом, регулярно посещайте окулиста и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ЛОР-врача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55ACA" w:rsidRPr="00125181" w:rsidRDefault="00E55ACA" w:rsidP="003C14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используйте, при необходимости, дополнительные приспособления для ходьбы (ходунки, трость);</w:t>
      </w:r>
    </w:p>
    <w:p w:rsidR="00E55ACA" w:rsidRPr="00125181" w:rsidRDefault="00E55ACA" w:rsidP="003C14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питайтесь;</w:t>
      </w:r>
    </w:p>
    <w:p w:rsidR="00E55ACA" w:rsidRPr="00125181" w:rsidRDefault="00E55ACA" w:rsidP="003C14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проконсультируйтесь с врачом, если Вас беспокоит головокружение;</w:t>
      </w:r>
    </w:p>
    <w:p w:rsidR="00E55ACA" w:rsidRPr="00125181" w:rsidRDefault="00E55ACA" w:rsidP="003C14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носите обувь с широким каблуком и нескользящей подошвой.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Следите за тем, чтобы обстановка в доме была максимально удобной и исключала возможность падений:</w:t>
      </w:r>
    </w:p>
    <w:p w:rsidR="00E55ACA" w:rsidRPr="00125181" w:rsidRDefault="00E55ACA" w:rsidP="003C1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помещения в квартире должны быть хорошо освещены;</w:t>
      </w:r>
    </w:p>
    <w:p w:rsidR="00E55ACA" w:rsidRPr="00125181" w:rsidRDefault="00E55ACA" w:rsidP="003C1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коридоры, проходы и лестницы должны быть свободными;</w:t>
      </w:r>
    </w:p>
    <w:p w:rsidR="00E55ACA" w:rsidRPr="00125181" w:rsidRDefault="00E55ACA" w:rsidP="003C1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лестниц можно установить поручни, ковры и провода должны быть закреплены;</w:t>
      </w:r>
    </w:p>
    <w:p w:rsidR="00E55ACA" w:rsidRPr="00125181" w:rsidRDefault="00E55ACA" w:rsidP="003C1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стулья должны быть устойчивыми и не качаться;</w:t>
      </w:r>
    </w:p>
    <w:p w:rsidR="00E55ACA" w:rsidRPr="00125181" w:rsidRDefault="00E55ACA" w:rsidP="003C1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вставании на стул или другую опору нужно убедиться в 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прочности и наличии неподвижного устройст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ва, чтобы удержаться от падения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рук;</w:t>
      </w:r>
    </w:p>
    <w:p w:rsidR="00E55ACA" w:rsidRPr="00125181" w:rsidRDefault="00E55ACA" w:rsidP="003C1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нужные вещи нужно расставлять таким образом, чтобы их можно было достать с полки двумя руками одновременно;</w:t>
      </w:r>
    </w:p>
    <w:p w:rsidR="00E55ACA" w:rsidRPr="00125181" w:rsidRDefault="00E55ACA" w:rsidP="003C1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ванной комнате пол лучше покрыть нескользкими ковриками.</w:t>
      </w:r>
    </w:p>
    <w:p w:rsidR="00E55ACA" w:rsidRPr="00A146EA" w:rsidRDefault="00E55ACA" w:rsidP="003C1481">
      <w:pPr>
        <w:shd w:val="clear" w:color="auto" w:fill="FFFFFF"/>
        <w:spacing w:before="100" w:beforeAutospacing="1" w:after="100" w:afterAutospacing="1" w:line="288" w:lineRule="atLeast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46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Лечение </w:t>
      </w:r>
      <w:proofErr w:type="spellStart"/>
      <w:r w:rsidRPr="00A146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остеопороза</w:t>
      </w:r>
      <w:proofErr w:type="spellEnd"/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Облегчает состояние пациента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соблюдение 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ортопедического режима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сон на жесткой постели (предпочтительны ортопедические или жесткие пружинные матрацы либо щит под матрацем) с маленькой или ортопедической подушкой под головой. Необходимо избегать длительного лежания, сидения (особенно сгорбившись), стояния в одном положении. Осанка при сидении должна быть выпрямленной, за счет вертикального расположения спинки стула либо за счет опоры на локти при сидении за столом. Ограничение подъема тяжестей. Если же все-таки приходится поднимать какой-то предмет, то следует избегать наклона вперед: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бходимо приседать.</w:t>
      </w:r>
    </w:p>
    <w:p w:rsidR="00E55ACA" w:rsidRPr="00125181" w:rsidRDefault="00E55ACA" w:rsidP="003C1481">
      <w:pPr>
        <w:shd w:val="clear" w:color="auto" w:fill="FFFFFF"/>
        <w:spacing w:before="120" w:after="120" w:line="240" w:lineRule="auto"/>
        <w:ind w:left="284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назначения специфического лечения определяет лечащий врач.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Препараты кальция и витамин</w:t>
      </w:r>
      <w:proofErr w:type="gramStart"/>
      <w:r w:rsidRPr="00125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обязательными компонентами любой схемы лечения </w:t>
      </w:r>
      <w:proofErr w:type="spellStart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существует несколько классов эффективных препаратов, лечение которыми достоверно увеличивает минеральную плотность костной ткани и снижает риск переломов костей. Подбор терапии для каждого конкретного пациента проводится с учетом его клинических особенностей и индивидуальных противопоказаний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Поскольку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</w:t>
      </w:r>
      <w:r w:rsidRPr="00125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хроническим прогрессирующим заболеванием, лечение его представляет собой длительный процесс.</w:t>
      </w:r>
    </w:p>
    <w:p w:rsidR="00E55ACA" w:rsidRDefault="00E55ACA" w:rsidP="003C148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32C9" w:rsidRPr="003C1481" w:rsidRDefault="00B232C9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Тесты риска для самостоятельной оценки здоровья</w:t>
      </w:r>
    </w:p>
    <w:p w:rsidR="00B232C9" w:rsidRPr="003C1481" w:rsidRDefault="00B232C9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color w:val="545151"/>
          <w:sz w:val="28"/>
          <w:szCs w:val="28"/>
          <w:lang w:eastAsia="ru-RU"/>
        </w:rPr>
      </w:pPr>
      <w:r w:rsidRPr="003C1481">
        <w:rPr>
          <w:rFonts w:ascii="Times New Roman" w:eastAsia="Times New Roman" w:hAnsi="Times New Roman" w:cs="Times New Roman"/>
          <w:color w:val="545151"/>
          <w:sz w:val="28"/>
          <w:szCs w:val="28"/>
          <w:lang w:eastAsia="ru-RU"/>
        </w:rPr>
        <w:t xml:space="preserve">На сегодняшний день разработаны тесты риска по многим патологическим состояниям. При помощи специально составленной анкеты можно определить и персональный риск возникновения </w:t>
      </w:r>
      <w:proofErr w:type="spellStart"/>
      <w:r w:rsidRPr="003C1481">
        <w:rPr>
          <w:rFonts w:ascii="Times New Roman" w:eastAsia="Times New Roman" w:hAnsi="Times New Roman" w:cs="Times New Roman"/>
          <w:color w:val="545151"/>
          <w:sz w:val="28"/>
          <w:szCs w:val="28"/>
          <w:lang w:eastAsia="ru-RU"/>
        </w:rPr>
        <w:t>остеопороза</w:t>
      </w:r>
      <w:proofErr w:type="spellEnd"/>
      <w:r w:rsidRPr="003C1481">
        <w:rPr>
          <w:rFonts w:ascii="Times New Roman" w:eastAsia="Times New Roman" w:hAnsi="Times New Roman" w:cs="Times New Roman"/>
          <w:color w:val="545151"/>
          <w:sz w:val="28"/>
          <w:szCs w:val="28"/>
          <w:lang w:eastAsia="ru-RU"/>
        </w:rPr>
        <w:t>. Факторы риска могут быть разными, каждый человек индивидуальный и этот тест может стать исходным пунктом для ориентирования и возможно изменения образа жизни</w:t>
      </w:r>
    </w:p>
    <w:p w:rsidR="00B232C9" w:rsidRPr="003C1481" w:rsidRDefault="00B232C9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color w:val="545151"/>
          <w:sz w:val="28"/>
          <w:szCs w:val="28"/>
          <w:lang w:eastAsia="ru-RU"/>
        </w:rPr>
      </w:pPr>
      <w:r w:rsidRPr="003C1481">
        <w:rPr>
          <w:rFonts w:ascii="Times New Roman" w:eastAsia="Times New Roman" w:hAnsi="Times New Roman" w:cs="Times New Roman"/>
          <w:color w:val="545151"/>
          <w:sz w:val="28"/>
          <w:szCs w:val="28"/>
          <w:lang w:eastAsia="ru-RU"/>
        </w:rPr>
        <w:t>Уделите 5 минут, чтобы определить свои факторы риска. Добросовестно ответьте на вопросы анкеты.</w:t>
      </w:r>
    </w:p>
    <w:p w:rsidR="000E1AF7" w:rsidRPr="003C1481" w:rsidRDefault="000E1AF7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color w:val="336699"/>
          <w:sz w:val="28"/>
          <w:szCs w:val="28"/>
          <w:lang w:eastAsia="ru-RU"/>
        </w:rPr>
      </w:pPr>
    </w:p>
    <w:p w:rsidR="00B232C9" w:rsidRPr="00241AFE" w:rsidRDefault="00B232C9" w:rsidP="003C1481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Анкета для определения факторов риска </w:t>
      </w:r>
      <w:proofErr w:type="spellStart"/>
      <w:r w:rsidRPr="00241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остеопороза</w:t>
      </w:r>
      <w:proofErr w:type="spellEnd"/>
    </w:p>
    <w:p w:rsidR="00B232C9" w:rsidRPr="00B232C9" w:rsidRDefault="00B232C9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</w:pPr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>Инструкция.</w:t>
      </w:r>
    </w:p>
    <w:p w:rsidR="00B232C9" w:rsidRPr="00B232C9" w:rsidRDefault="00B232C9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</w:pPr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 xml:space="preserve">Пожалуйста, отвечайте на вопросы сознательно, чтобы оценить риск возникновения </w:t>
      </w:r>
      <w:proofErr w:type="spellStart"/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>остеопороза</w:t>
      </w:r>
      <w:proofErr w:type="spellEnd"/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>. Обратите внимание на специфику полов (</w:t>
      </w:r>
      <w:proofErr w:type="gramStart"/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>см</w:t>
      </w:r>
      <w:proofErr w:type="gramEnd"/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>. вопросы для женщин, вопросы для мужчин). Оцените вопросы ответами «да» или «нет»</w:t>
      </w:r>
    </w:p>
    <w:p w:rsidR="00B232C9" w:rsidRPr="00B232C9" w:rsidRDefault="00B232C9" w:rsidP="003C1481">
      <w:pPr>
        <w:shd w:val="clear" w:color="auto" w:fill="FFFFFF"/>
        <w:spacing w:after="150" w:line="300" w:lineRule="atLeast"/>
        <w:ind w:left="284"/>
        <w:jc w:val="both"/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</w:pPr>
      <w:r w:rsidRPr="00B232C9">
        <w:rPr>
          <w:rFonts w:ascii="Times New Roman" w:eastAsia="Times New Roman" w:hAnsi="Times New Roman" w:cs="Times New Roman"/>
          <w:b/>
          <w:bCs/>
          <w:color w:val="545151"/>
          <w:sz w:val="27"/>
          <w:lang w:eastAsia="ru-RU"/>
        </w:rPr>
        <w:t>Семейные факторы</w:t>
      </w:r>
    </w:p>
    <w:tbl>
      <w:tblPr>
        <w:tblW w:w="11295" w:type="dxa"/>
        <w:tblCellSpacing w:w="15" w:type="dxa"/>
        <w:tblBorders>
          <w:top w:val="single" w:sz="18" w:space="0" w:color="00D6FF"/>
          <w:left w:val="single" w:sz="18" w:space="0" w:color="00D6FF"/>
          <w:bottom w:val="single" w:sz="18" w:space="0" w:color="00D6FF"/>
          <w:right w:val="single" w:sz="18" w:space="0" w:color="00D6FF"/>
        </w:tblBorders>
        <w:tblCellMar>
          <w:left w:w="0" w:type="dxa"/>
          <w:right w:w="0" w:type="dxa"/>
        </w:tblCellMar>
        <w:tblLook w:val="04A0"/>
      </w:tblPr>
      <w:tblGrid>
        <w:gridCol w:w="7942"/>
        <w:gridCol w:w="1677"/>
        <w:gridCol w:w="1676"/>
      </w:tblGrid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отца или матери были переломы без заметных причин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отца или у матери есть сутулость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данные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возраст более 60 лет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недостаточный вес или была значительная потеря веса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себя слабым или больным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худой/ худая</w:t>
            </w:r>
            <w:proofErr w:type="gramEnd"/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был перелом костей в возрасте старше 50 лет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низкая плотность костей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тела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детстве я мало занимался/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занималась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спортом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сейчас мало занимаюсь спортом и мало двигаюсь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постельный режим или же я нахожусь в инвалидном кресле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бываю на солнце менее полчаса в день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женщин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Менопауза началась до 45 лет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Яичники удалены вследствие операции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мать нескольких детей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мужчин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низкий уровень тестостерона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редко употребляю молоко, сыр и молочные продукты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редко ем свежие зелёные овощи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ежедневно ем мясные блюда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часто ем </w:t>
            </w:r>
            <w:proofErr w:type="spell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фаст-фуд</w:t>
            </w:r>
            <w:proofErr w:type="spell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уже готовую пищу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и много употребляю сахар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 жизни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курю (ежедневно по одной пачке и больше)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пью больше 4 чашек кофе в день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выпиваю больше 3 баночек Кока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выпиваю больше чем 2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алкогольных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напитка в день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гиперфункция щитовидной железы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хроническое заболевание почек или печени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воспалительное заболевание кишечника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диабетик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часто бывают проблемы с пищеварением (вздутие, понос)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должна принимать более полугода </w:t>
            </w:r>
            <w:proofErr w:type="spell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преднизон</w:t>
            </w:r>
            <w:proofErr w:type="spell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гепарин, </w:t>
            </w:r>
            <w:proofErr w:type="spell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маркумар</w:t>
            </w:r>
            <w:proofErr w:type="spell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кортизон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должна принимать более полугода транквилизаторы, </w:t>
            </w:r>
            <w:proofErr w:type="spellStart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психофармацевтические</w:t>
            </w:r>
            <w:proofErr w:type="spellEnd"/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против эпилепсии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2C9" w:rsidRPr="0008199C" w:rsidTr="00B232C9">
        <w:trPr>
          <w:tblCellSpacing w:w="15" w:type="dxa"/>
        </w:trPr>
        <w:tc>
          <w:tcPr>
            <w:tcW w:w="7770" w:type="dxa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20" w:type="dxa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12" w:space="0" w:color="00D6FF"/>
              <w:left w:val="single" w:sz="12" w:space="0" w:color="00D6FF"/>
              <w:bottom w:val="single" w:sz="12" w:space="0" w:color="00D6FF"/>
              <w:right w:val="single" w:sz="12" w:space="0" w:color="00D6FF"/>
            </w:tcBorders>
            <w:vAlign w:val="center"/>
            <w:hideMark/>
          </w:tcPr>
          <w:p w:rsidR="00B232C9" w:rsidRPr="0008199C" w:rsidRDefault="00B232C9" w:rsidP="003C148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1481" w:rsidRDefault="003C1481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</w:pPr>
    </w:p>
    <w:p w:rsidR="003C1481" w:rsidRDefault="003C1481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</w:pPr>
    </w:p>
    <w:p w:rsidR="003C1481" w:rsidRDefault="003C1481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</w:pPr>
    </w:p>
    <w:p w:rsidR="00B232C9" w:rsidRPr="003C1481" w:rsidRDefault="00B232C9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 xml:space="preserve"> </w:t>
      </w:r>
      <w:r w:rsidRPr="003C14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Ваш результат составляет (пожалуйста, посчитайте):</w:t>
      </w:r>
    </w:p>
    <w:p w:rsidR="00B232C9" w:rsidRPr="003C1481" w:rsidRDefault="00B232C9" w:rsidP="003C148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</w:pPr>
      <w:r w:rsidRPr="003C1481"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  <w:t xml:space="preserve">если у Вас 5 ответов «Да», то Вам необходимо подумать о том, чтобы обратиться к врачу по поводу </w:t>
      </w:r>
      <w:proofErr w:type="spellStart"/>
      <w:r w:rsidRPr="003C1481"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  <w:t>остеопороза</w:t>
      </w:r>
      <w:proofErr w:type="spellEnd"/>
      <w:r w:rsidRPr="003C1481"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  <w:t>;</w:t>
      </w:r>
    </w:p>
    <w:p w:rsidR="00B232C9" w:rsidRPr="003C1481" w:rsidRDefault="00B232C9" w:rsidP="003C148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</w:pPr>
      <w:r w:rsidRPr="003C1481"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  <w:t xml:space="preserve">если Вы ответили на 8 и более вопросов утвердительно «Да», то у Вас в будущем высокий риск перелома, вызванного </w:t>
      </w:r>
      <w:proofErr w:type="spellStart"/>
      <w:r w:rsidRPr="003C1481"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  <w:t>остеопорозом</w:t>
      </w:r>
      <w:proofErr w:type="spellEnd"/>
      <w:r w:rsidRPr="003C1481"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  <w:t>.</w:t>
      </w:r>
    </w:p>
    <w:p w:rsidR="00B232C9" w:rsidRPr="00B232C9" w:rsidRDefault="00B232C9" w:rsidP="003C1481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</w:pPr>
      <w:r w:rsidRPr="00B232C9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bCs/>
          <w:color w:val="545151"/>
          <w:sz w:val="27"/>
          <w:lang w:eastAsia="ru-RU"/>
        </w:rPr>
        <w:t xml:space="preserve"> </w:t>
      </w:r>
      <w:r w:rsidRPr="003C1481"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  <w:t>Этот тест не может заменить обследование или консультацию с врачом</w:t>
      </w:r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>. Если Вы не обнаружили у себя факторов риска, надо их в дальнейшем отслеживать и обсудить программу</w:t>
      </w:r>
      <w:r w:rsidR="0008199C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 xml:space="preserve"> </w:t>
      </w:r>
      <w:hyperlink r:id="rId17" w:tooltip="профилактика остеопороза" w:history="1">
        <w:r w:rsidRPr="00B232C9">
          <w:rPr>
            <w:rFonts w:ascii="Times New Roman" w:eastAsia="Times New Roman" w:hAnsi="Times New Roman" w:cs="Times New Roman"/>
            <w:color w:val="336699"/>
            <w:sz w:val="27"/>
            <w:u w:val="single"/>
            <w:lang w:eastAsia="ru-RU"/>
          </w:rPr>
          <w:t xml:space="preserve">профилактики </w:t>
        </w:r>
        <w:proofErr w:type="spellStart"/>
        <w:r w:rsidRPr="00B232C9">
          <w:rPr>
            <w:rFonts w:ascii="Times New Roman" w:eastAsia="Times New Roman" w:hAnsi="Times New Roman" w:cs="Times New Roman"/>
            <w:color w:val="336699"/>
            <w:sz w:val="27"/>
            <w:u w:val="single"/>
            <w:lang w:eastAsia="ru-RU"/>
          </w:rPr>
          <w:t>остеопороза</w:t>
        </w:r>
        <w:proofErr w:type="spellEnd"/>
      </w:hyperlink>
      <w:r w:rsidR="0008199C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 xml:space="preserve"> </w:t>
      </w:r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>со специалистом. Измерение плотности костей с применением DXA желательно проводить каждые 2 года.</w:t>
      </w:r>
    </w:p>
    <w:p w:rsidR="00B232C9" w:rsidRPr="008F2CF5" w:rsidRDefault="00B232C9" w:rsidP="003C1481">
      <w:pPr>
        <w:shd w:val="clear" w:color="auto" w:fill="FFFFFF"/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  <w:r w:rsidRPr="008F2CF5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  <w:t xml:space="preserve">Какой смысл имеет анкета по определению риска развития </w:t>
      </w:r>
      <w:proofErr w:type="spellStart"/>
      <w:r w:rsidRPr="008F2CF5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  <w:t>остеопороза</w:t>
      </w:r>
      <w:proofErr w:type="spellEnd"/>
      <w:r w:rsidRPr="008F2CF5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  <w:t>?</w:t>
      </w:r>
    </w:p>
    <w:p w:rsidR="00B232C9" w:rsidRPr="003C1481" w:rsidRDefault="00B232C9" w:rsidP="003C1481">
      <w:pPr>
        <w:shd w:val="clear" w:color="auto" w:fill="FFFFFF"/>
        <w:spacing w:after="150" w:line="300" w:lineRule="atLeast"/>
        <w:ind w:left="284"/>
        <w:jc w:val="both"/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</w:pPr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 xml:space="preserve">Смысл анкеты-теста - поднять уровень информированности и понимания серьезности последствий болезни. Лишь тогда, когда люди начинают задумываться о проблеме и что-то предпринимать, оценка конкретных мероприятий имеет смысл. Долгосрочным решающим фактором является образ </w:t>
      </w:r>
      <w:proofErr w:type="gramStart"/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>жизни</w:t>
      </w:r>
      <w:proofErr w:type="gramEnd"/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 xml:space="preserve"> − сколько мы двигаемся, как мы едим. В общем, как мы следим за своим телом. Поэтому профилактику </w:t>
      </w:r>
      <w:proofErr w:type="spellStart"/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>остеопороза</w:t>
      </w:r>
      <w:proofErr w:type="spellEnd"/>
      <w:r w:rsidRPr="00B232C9">
        <w:rPr>
          <w:rFonts w:ascii="Times New Roman" w:eastAsia="Times New Roman" w:hAnsi="Times New Roman" w:cs="Times New Roman"/>
          <w:color w:val="545151"/>
          <w:sz w:val="27"/>
          <w:szCs w:val="27"/>
          <w:lang w:eastAsia="ru-RU"/>
        </w:rPr>
        <w:t xml:space="preserve"> надо начинать с молодых лет. </w:t>
      </w:r>
      <w:r w:rsidRPr="003C1481">
        <w:rPr>
          <w:rFonts w:ascii="Times New Roman" w:eastAsia="Times New Roman" w:hAnsi="Times New Roman" w:cs="Times New Roman"/>
          <w:b/>
          <w:color w:val="545151"/>
          <w:sz w:val="27"/>
          <w:szCs w:val="27"/>
          <w:lang w:eastAsia="ru-RU"/>
        </w:rPr>
        <w:t>Если вам за 60, и вы считаете, что менять привычки уже поздно, вы глубоко ошибаетесь! Менять вредные привычки никогда не поздно, организм ответит вам благодарностью за каждое действие, направленное на его пользу.</w:t>
      </w:r>
    </w:p>
    <w:p w:rsidR="00241AFE" w:rsidRDefault="00241AFE" w:rsidP="003C1481">
      <w:pPr>
        <w:pStyle w:val="a3"/>
        <w:spacing w:before="0" w:beforeAutospacing="0" w:after="0" w:afterAutospacing="0" w:line="300" w:lineRule="atLeast"/>
        <w:ind w:left="284"/>
        <w:jc w:val="both"/>
        <w:rPr>
          <w:color w:val="545151"/>
          <w:sz w:val="27"/>
          <w:szCs w:val="27"/>
        </w:rPr>
      </w:pPr>
    </w:p>
    <w:sectPr w:rsidR="00241AFE" w:rsidSect="008F2CF5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043"/>
    <w:multiLevelType w:val="multilevel"/>
    <w:tmpl w:val="5EB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60CA"/>
    <w:multiLevelType w:val="multilevel"/>
    <w:tmpl w:val="BC6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B726D"/>
    <w:multiLevelType w:val="multilevel"/>
    <w:tmpl w:val="1FA6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577"/>
    <w:multiLevelType w:val="multilevel"/>
    <w:tmpl w:val="EC3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F012F"/>
    <w:multiLevelType w:val="multilevel"/>
    <w:tmpl w:val="26CA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4E94"/>
    <w:multiLevelType w:val="multilevel"/>
    <w:tmpl w:val="A20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771A4"/>
    <w:multiLevelType w:val="hybridMultilevel"/>
    <w:tmpl w:val="812E29E0"/>
    <w:lvl w:ilvl="0" w:tplc="8E02687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AC81F2C"/>
    <w:multiLevelType w:val="multilevel"/>
    <w:tmpl w:val="09D2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81"/>
    <w:rsid w:val="00053AB0"/>
    <w:rsid w:val="0008199C"/>
    <w:rsid w:val="000B58B2"/>
    <w:rsid w:val="000E1AF7"/>
    <w:rsid w:val="00104A7B"/>
    <w:rsid w:val="00125181"/>
    <w:rsid w:val="001F4B3A"/>
    <w:rsid w:val="00241AFE"/>
    <w:rsid w:val="00255D1D"/>
    <w:rsid w:val="00257495"/>
    <w:rsid w:val="00296133"/>
    <w:rsid w:val="003457C8"/>
    <w:rsid w:val="00391D8F"/>
    <w:rsid w:val="003941FC"/>
    <w:rsid w:val="00397A32"/>
    <w:rsid w:val="003C1481"/>
    <w:rsid w:val="0042579E"/>
    <w:rsid w:val="00514FF6"/>
    <w:rsid w:val="00593FD3"/>
    <w:rsid w:val="00637519"/>
    <w:rsid w:val="006B1B11"/>
    <w:rsid w:val="006C1C9E"/>
    <w:rsid w:val="006D1322"/>
    <w:rsid w:val="00700A21"/>
    <w:rsid w:val="007D5C42"/>
    <w:rsid w:val="0082766E"/>
    <w:rsid w:val="00897DA7"/>
    <w:rsid w:val="008F2CF5"/>
    <w:rsid w:val="00A146EA"/>
    <w:rsid w:val="00A96687"/>
    <w:rsid w:val="00AA12D9"/>
    <w:rsid w:val="00AA2969"/>
    <w:rsid w:val="00B05F46"/>
    <w:rsid w:val="00B232C9"/>
    <w:rsid w:val="00BA0B57"/>
    <w:rsid w:val="00BB7A70"/>
    <w:rsid w:val="00BD3CCD"/>
    <w:rsid w:val="00C37CCB"/>
    <w:rsid w:val="00C64922"/>
    <w:rsid w:val="00C70B5A"/>
    <w:rsid w:val="00C870FA"/>
    <w:rsid w:val="00CB6E55"/>
    <w:rsid w:val="00D05A14"/>
    <w:rsid w:val="00D639D1"/>
    <w:rsid w:val="00E55ACA"/>
    <w:rsid w:val="00E7511B"/>
    <w:rsid w:val="00EA7AF8"/>
    <w:rsid w:val="00F167A8"/>
    <w:rsid w:val="00F5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3">
    <w:name w:val="heading 3"/>
    <w:basedOn w:val="a"/>
    <w:link w:val="30"/>
    <w:uiPriority w:val="9"/>
    <w:qFormat/>
    <w:rsid w:val="00125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51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51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181"/>
    <w:rPr>
      <w:b/>
      <w:bCs/>
    </w:rPr>
  </w:style>
  <w:style w:type="character" w:styleId="a5">
    <w:name w:val="Emphasis"/>
    <w:basedOn w:val="a0"/>
    <w:uiPriority w:val="20"/>
    <w:qFormat/>
    <w:rsid w:val="001251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58B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232C9"/>
    <w:rPr>
      <w:color w:val="0000FF"/>
      <w:u w:val="single"/>
    </w:rPr>
  </w:style>
  <w:style w:type="table" w:styleId="aa">
    <w:name w:val="Table Grid"/>
    <w:basedOn w:val="a1"/>
    <w:uiPriority w:val="59"/>
    <w:rsid w:val="0024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596">
                  <w:marLeft w:val="0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8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724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ika.tomsk.ru/wp-content/uploads/2012/10/62.jpg" TargetMode="External"/><Relationship Id="rId13" Type="http://schemas.openxmlformats.org/officeDocument/2006/relationships/hyperlink" Target="http://profilaktika.tomsk.ru/?page_id=3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euromed.academy/ortopedia/osteoporoz/profilaktika-osteoporoz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profilaktika.tomsk.ru/wp-content/uploads/2014/10/osteoporoz_women.jpg" TargetMode="External"/><Relationship Id="rId11" Type="http://schemas.openxmlformats.org/officeDocument/2006/relationships/hyperlink" Target="http://profilaktika.tomsk.ru/wp-content/uploads/2014/10/pitanie_osteoporoz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rofilaktika.tomsk.ru/wp-content/uploads/2014/10/ve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30</cp:revision>
  <dcterms:created xsi:type="dcterms:W3CDTF">2019-09-26T09:34:00Z</dcterms:created>
  <dcterms:modified xsi:type="dcterms:W3CDTF">2002-12-31T21:26:00Z</dcterms:modified>
</cp:coreProperties>
</file>